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Montserrat" w:cs="Montserrat" w:eastAsia="Montserrat" w:hAnsi="Montserrat"/>
          <w:b/>
          <w:bCs/>
          <w:sz w:val="36"/>
          <w:szCs w:val="36"/>
        </w:rPr>
        <w:t xml:space="preserve">AI from the Inside</w:t>
      </w:r>
    </w:p>
    <w:p>
      <w:pPr>
        <w:spacing w:after="200"/>
      </w:pPr>
      <w:r>
        <w:rPr>
          <w:rFonts w:ascii="Montserrat" w:cs="Montserrat" w:eastAsia="Montserrat" w:hAnsi="Montserrat"/>
          <w:b/>
          <w:bCs/>
          <w:color w:val="E87722"/>
          <w:sz w:val="24"/>
          <w:szCs w:val="24"/>
        </w:rPr>
        <w:t xml:space="preserve">Guest</w:t>
      </w:r>
    </w:p>
    <w:p>
      <w:pPr>
        <w:pBdr>
          <w:bottom w:val="single" w:color="E87722" w:sz="6"/>
        </w:pBdr>
        <w:spacing w:after="300"/>
      </w:pPr>
    </w:p>
    <w:p>
      <w:pPr>
        <w:pStyle w:val="Heading2"/>
        <w:spacing w:after="120" w:before="240"/>
      </w:pPr>
      <w:r>
        <w:rPr>
          <w:b/>
          <w:bCs/>
        </w:rPr>
        <w:t xml:space="preserve">AI from the Inside: Exploring Cleary Gottlieb's Innovative Approach</w:t>
      </w:r>
    </w:p>
    <w:p>
      <w:pPr>
        <w:spacing w:after="160"/>
      </w:pPr>
      <w:r>
        <w:t xml:space="preserve">The legal industry is undergoing a transformative change with the integration of artificial intelligence (AI) into law firm operations. Michael Gerstenzang, the senior partner at</w:t>
      </w:r>
      <w:r>
        <w:rPr>
          <w:b/>
          <w:bCs/>
        </w:rPr>
        <w:t xml:space="preserve">Cleary Gottlieb</w:t>
      </w:r>
      <w:r>
        <w:t xml:space="preserve">, offers a unique perspective on this evolution, having spearheaded the firm's efforts to incorporate AI into its practice. Under his leadership, Cleary Gottlieb has acquired an AI startup, Springbok AI, and developed ClearyX, a technology services subsidiary. These initiatives reflect a proactive approach to harnessing AI for enhancing legal services and addressing client needs more efficiently.</w:t>
      </w:r>
    </w:p>
    <w:p>
      <w:pPr>
        <w:pStyle w:val="Heading2"/>
        <w:spacing w:after="120" w:before="240"/>
      </w:pPr>
      <w:r>
        <w:rPr>
          <w:b/>
          <w:bCs/>
        </w:rPr>
        <w:t xml:space="preserve">The Role of AI in Transforming Legal Practice</w:t>
      </w:r>
    </w:p>
    <w:p>
      <w:pPr>
        <w:spacing w:after="160"/>
      </w:pPr>
      <w:r>
        <w:t xml:space="preserve">Gerstenzang acknowledges the dual nature of AI in the legal profession: it brings both opportunities and challenges. While AI has the potential to significantly improve efficiency and reduce costs, it also raises questions about professional responsibilities and the ethical use of such technologies. He emphasizes that AI is not merely about automating tasks but fundamentally changing how professionals interact with technology and clients.</w:t>
      </w:r>
    </w:p>
    <w:p>
      <w:pPr>
        <w:spacing w:after="160"/>
      </w:pPr>
      <w:r>
        <w:t xml:space="preserve">One of the key areas where Cleary Gottlieb has leveraged AI is in due diligence for M&amp;A transactions. Through ClearyX, the firm has been able to offer clients a more cost-effective solution for due diligence, reducing expenses by approximately 50% compared to traditional methods. This shift not only meets client demands for efficiency but also positions the firm as a leader in innovative legal service delivery.</w:t>
      </w:r>
    </w:p>
    <w:p>
      <w:pPr>
        <w:pStyle w:val="Heading2"/>
        <w:spacing w:after="120" w:before="240"/>
      </w:pPr>
      <w:r>
        <w:rPr>
          <w:b/>
          <w:bCs/>
        </w:rPr>
        <w:t xml:space="preserve">ClearyX: A Strategic Move Towards Innovation</w:t>
      </w:r>
    </w:p>
    <w:p>
      <w:pPr>
        <w:spacing w:after="160"/>
      </w:pPr>
      <w:r>
        <w:t xml:space="preserve">ClearyX operates as a wholly owned subsidiary of Cleary Gottlieb, providing technology-driven services that complement the firm's legal expertise. This structure allows ClearyX to function with the autonomy of a startup while benefiting from the firm's established reputation and resources. The subsidiary focuses on solving client problems through technology, offering services like virtual data rooms and contract management solutions.</w:t>
      </w:r>
    </w:p>
    <w:p>
      <w:pPr>
        <w:spacing w:after="160"/>
      </w:pPr>
      <w:r>
        <w:t xml:space="preserve">The decision to establish ClearyX outside the main firm structure was strategic, enabling it to attract non-lawyer professionals and offer them compensation packages typical of technology startups. This approach avoids potential conflicts with ethical rules regarding law firm ownership and aligns with the firm's commitment to innovation.</w:t>
      </w:r>
    </w:p>
    <w:p>
      <w:pPr>
        <w:pStyle w:val="Heading2"/>
        <w:spacing w:after="120" w:before="240"/>
      </w:pPr>
      <w:r>
        <w:rPr>
          <w:b/>
          <w:bCs/>
        </w:rPr>
        <w:t xml:space="preserve">Springbok AI Acquisition: Enhancing In-House Technological Capabilities</w:t>
      </w:r>
    </w:p>
    <w:p>
      <w:pPr>
        <w:spacing w:after="160"/>
      </w:pPr>
      <w:r>
        <w:t xml:space="preserve">The acquisition of Springbok AI has been pivotal in enhancing Cleary Gottlieb's in-house technological capabilities. The Springbok team, now part of Cleary's AI acceleration team, develops bespoke tools that address specific client needs. For example, they've created a tool that efficiently organizes billing diaries into client-specified categories, a task previously performed manually by legal staff.</w:t>
      </w:r>
    </w:p>
    <w:p>
      <w:pPr>
        <w:spacing w:after="160"/>
      </w:pPr>
      <w:r>
        <w:t xml:space="preserve">Gerstenzang highlights the importance of having a team of technologists who can assess and modify off-the-shelf AI products to suit the firm's requirements. This capability allows Cleary Gottlieb to remain agile and responsive to the rapidly evolving technology landscape, ensuring they provide tailored solutions to their clients.</w:t>
      </w:r>
    </w:p>
    <w:p>
      <w:pPr>
        <w:pStyle w:val="Heading2"/>
        <w:spacing w:after="120" w:before="240"/>
      </w:pPr>
      <w:r>
        <w:rPr>
          <w:b/>
          <w:bCs/>
        </w:rPr>
        <w:t xml:space="preserve">The Future of Legal Billing and AI's Role</w:t>
      </w:r>
    </w:p>
    <w:p>
      <w:pPr>
        <w:spacing w:after="160"/>
      </w:pPr>
      <w:r>
        <w:t xml:space="preserve">Gerstenzang criticizes the traditional billable hour model for failing to reward creativity and efficiency, suggesting that AI could catalyze a shift towards value-based billing models. By focusing on the value delivered rather than the time spent, law firms can better align their services with client expectations and enhance their own economic models.</w:t>
      </w:r>
    </w:p>
    <w:p>
      <w:pPr>
        <w:spacing w:after="160"/>
      </w:pPr>
      <w:r>
        <w:t xml:space="preserve">ClearyX exemplifies this shift by offering fixed-fee arrangements for its services, providing clients with cost certainty and aligning the firm's incentives with client outcomes. This model not only reflects a more client-centric approach but also positions the firm for future growth in an increasingly competitive legal market.</w:t>
      </w:r>
    </w:p>
    <w:p>
      <w:pPr>
        <w:pStyle w:val="Heading2"/>
        <w:spacing w:after="120" w:before="240"/>
      </w:pPr>
      <w:r>
        <w:rPr>
          <w:b/>
          <w:bCs/>
        </w:rPr>
        <w:t xml:space="preserve">Implications for the Legal Profession</w:t>
      </w:r>
    </w:p>
    <w:p>
      <w:pPr>
        <w:spacing w:after="160"/>
      </w:pPr>
      <w:r>
        <w:t xml:space="preserve">The integration of AI into legal practice has significant implications for the profession. Gerstenzang envisions a future where legal teams are composed not only of lawyers but also technologists and data scientists, working collaboratively to solve complex client problems. This shift requires law firms to foster a culture of openness and adaptability, embracing technology as a partner in delivering superior client service.</w:t>
      </w:r>
    </w:p>
    <w:p>
      <w:pPr>
        <w:spacing w:after="160"/>
      </w:pPr>
      <w:r>
        <w:t xml:space="preserve">As AI continues to evolve, law firms must reassess their strategies, considering the potential for boutique practices to leverage technology in ways that challenge traditional big law models. Gerstenzang's insights underscore the importance of innovation and strategic thinking in navigating the future of law, where AI is poised to play a pivotal role.</w:t>
      </w:r>
    </w:p>
    <w:p>
      <w:pPr>
        <w:spacing w:after="160"/>
      </w:pPr>
      <w:r>
        <w:t xml:space="preserve">Michael Gerstenzang's leadership at Cleary Gottlieb highlights the transformative potential of AI in the legal industry. By embracing technological innovation and fostering a culture of adaptability, Cleary Gottlieb is setting a precedent for how law firms can thrive in an era of rapid change.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color w:val="99999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ontserrat" w:cs="Montserrat" w:eastAsia="Montserrat" w:hAnsi="Montserrat"/>
        <w:color w:val="999999"/>
        <w:sz w:val="16"/>
        <w:szCs w:val="16"/>
      </w:rPr>
      <w:t xml:space="preserve">TalksOnLaw — Written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pPr>
    <w:rPr>
      <w:rFonts w:ascii="Montserrat" w:cs="Montserrat" w:eastAsia="Montserrat" w:hAnsi="Montserrat"/>
      <w:b/>
      <w:bCs/>
      <w:sz w:val="36"/>
      <w:szCs w:val="36"/>
    </w:rPr>
  </w:style>
  <w:style w:type="paragraph" w:styleId="Heading2">
    <w:name w:val="Heading 2"/>
    <w:basedOn w:val="Normal"/>
    <w:next w:val="Normal"/>
    <w:qFormat/>
    <w:pPr>
      <w:spacing w:after="120" w:before="200"/>
    </w:pPr>
    <w:rPr>
      <w:rFonts w:ascii="Montserrat" w:cs="Montserrat" w:eastAsia="Montserrat" w:hAnsi="Montserrat"/>
      <w:b/>
      <w:bCs/>
      <w:sz w:val="30"/>
      <w:szCs w:val="30"/>
    </w:rPr>
  </w:style>
  <w:style w:type="paragraph" w:styleId="Heading3">
    <w:name w:val="Heading 3"/>
    <w:basedOn w:val="Normal"/>
    <w:next w:val="Normal"/>
    <w:qFormat/>
    <w:pPr>
      <w:spacing w:after="100" w:before="160"/>
    </w:pPr>
    <w:rPr>
      <w:rFonts w:ascii="Montserrat" w:cs="Montserrat" w:eastAsia="Montserrat" w:hAnsi="Montserrat"/>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2026-04-06T22:59:35.985Z</dcterms:created>
  <dcterms:modified xsi:type="dcterms:W3CDTF">2026-04-06T22:59:35.985Z</dcterms:modified>
</cp:coreProperties>
</file>

<file path=docProps/custom.xml><?xml version="1.0" encoding="utf-8"?>
<Properties xmlns="http://schemas.openxmlformats.org/officeDocument/2006/custom-properties" xmlns:vt="http://schemas.openxmlformats.org/officeDocument/2006/docPropsVTypes"/>
</file>