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Montserrat" w:cs="Montserrat" w:eastAsia="Montserrat" w:hAnsi="Montserrat"/>
          <w:b/>
          <w:bCs/>
          <w:sz w:val="36"/>
          <w:szCs w:val="36"/>
        </w:rPr>
        <w:t xml:space="preserve">Rise of the Legal Technologist</w:t>
      </w:r>
    </w:p>
    <w:p>
      <w:pPr>
        <w:spacing w:after="200"/>
      </w:pPr>
      <w:r>
        <w:rPr>
          <w:rFonts w:ascii="Montserrat" w:cs="Montserrat" w:eastAsia="Montserrat" w:hAnsi="Montserrat"/>
          <w:b/>
          <w:bCs/>
          <w:color w:val="E87722"/>
          <w:sz w:val="24"/>
          <w:szCs w:val="24"/>
        </w:rPr>
        <w:t xml:space="preserve">Jason Boehmig</w:t>
      </w:r>
    </w:p>
    <w:p>
      <w:pPr>
        <w:pBdr>
          <w:bottom w:val="single" w:color="E87722" w:sz="6"/>
        </w:pBdr>
        <w:spacing w:after="300"/>
      </w:pPr>
    </w:p>
    <w:p>
      <w:pPr>
        <w:pStyle w:val="Heading2"/>
        <w:spacing w:after="120" w:before="240"/>
      </w:pPr>
      <w:r>
        <w:rPr>
          <w:b/>
          <w:bCs/>
        </w:rPr>
        <w:t xml:space="preserve">The Rise of the Legal Technologist</w:t>
      </w:r>
    </w:p>
    <w:p>
      <w:pPr>
        <w:spacing w:after="160"/>
      </w:pPr>
      <w:r>
        <w:t xml:space="preserve">As the legal industry continues to evolve, the role of the legal technologist is becoming increasingly critical. This evolution has been driven by advancements in technology and AI, challenging traditional legal practices and reshaping the landscape of legal services. Jason Boehmig, founder of Ironclad, a leading contract lifecycle management company, offers a unique perspective on how these changes are unfolding and what they mean for the future of law.</w:t>
      </w:r>
    </w:p>
    <w:p>
      <w:pPr>
        <w:pStyle w:val="Heading2"/>
        <w:spacing w:after="120" w:before="240"/>
      </w:pPr>
      <w:r>
        <w:rPr>
          <w:b/>
          <w:bCs/>
        </w:rPr>
        <w:t xml:space="preserve">Transforming Legal Practice with AI</w:t>
      </w:r>
    </w:p>
    <w:p>
      <w:pPr>
        <w:spacing w:after="160"/>
      </w:pPr>
      <w:r>
        <w:t xml:space="preserve">Boehmig suggests that we are witnessing a shift towards more technologically integrated legal practices. While traditional methods of contract drafting and redlining have dominated the profession, AI tools are now taking on much of the routine work, allowing lawyers to focus more on complex legal reasoning. He argues that AI is not about replacing lawyers but augmenting their capabilities, enabling them to spend more time on substantive legal work rather than administrative tasks.</w:t>
      </w:r>
    </w:p>
    <w:p>
      <w:pPr>
        <w:spacing w:after="160"/>
      </w:pPr>
      <w:r>
        <w:t xml:space="preserve">This shift is particularly evident in the use of AI to streamline contract processes. According to Boehmig, the adoption of AI in contract lifecycle management can speed up contract turnaround times by as much as 80%, significantly enhancing efficiency for in-house legal departments. These departments, often understaffed and overworked, benefit from AI's ability to handle routine, repeatable tasks, freeing up lawyers to engage in more strategic and high-value activities.</w:t>
      </w:r>
    </w:p>
    <w:p>
      <w:pPr>
        <w:pStyle w:val="Heading2"/>
        <w:spacing w:after="120" w:before="240"/>
      </w:pPr>
      <w:r>
        <w:rPr>
          <w:b/>
          <w:bCs/>
        </w:rPr>
        <w:t xml:space="preserve">The Structural Shift in the Legal Profession</w:t>
      </w:r>
    </w:p>
    <w:p>
      <w:pPr>
        <w:spacing w:after="160"/>
      </w:pPr>
      <w:r>
        <w:t xml:space="preserve">Boehmig anticipates a structural transformation in the legal profession, where the roles traditionally held by junior lawyers may diminish, giving rise to more legal-adjacent positions. These positions, while not requiring bar certification, will still leverage legal training and expertise. The emergence of roles such as legal engineers—professionals with legal training who help integrate technology into legal processes—illustrates this shift. These roles require a deep understanding of legal practice and the ability to creatively apply technology to solve legal problems.</w:t>
      </w:r>
    </w:p>
    <w:p>
      <w:pPr>
        <w:pStyle w:val="Heading2"/>
        <w:spacing w:after="120" w:before="240"/>
      </w:pPr>
      <w:r>
        <w:rPr>
          <w:b/>
          <w:bCs/>
        </w:rPr>
        <w:t xml:space="preserve">Legal Technology and Ethical Considerations</w:t>
      </w:r>
    </w:p>
    <w:p>
      <w:pPr>
        <w:spacing w:after="160"/>
      </w:pPr>
      <w:r>
        <w:t xml:space="preserve">The integration of AI into legal practice raises important ethical considerations, particularly concerning the provision of legal advice. Boehmig emphasizes that while AI can assist in legal tasks, it should not replace human judgment in providing legal counsel. He advocates for a model where AI acts as a powerful tool to support lawyers, enhancing their ability to deliver accurate and effective legal services. This perspective aligns with current ethical rules, such as the American Bar Association's Model Rule 5.5, which regulates the unauthorized practice of law and stresses the importance of human oversight in legal advice.</w:t>
      </w:r>
    </w:p>
    <w:p>
      <w:pPr>
        <w:pStyle w:val="Heading2"/>
        <w:spacing w:after="120" w:before="240"/>
      </w:pPr>
      <w:r>
        <w:rPr>
          <w:b/>
          <w:bCs/>
        </w:rPr>
        <w:t xml:space="preserve">The Future of Legal Education and Training</w:t>
      </w:r>
    </w:p>
    <w:p>
      <w:pPr>
        <w:spacing w:after="160"/>
      </w:pPr>
      <w:r>
        <w:t xml:space="preserve">With these technological advancements, there is a growing need for legal education to adapt. Boehmig suggests that law schools should focus on preparing students for a legal landscape where technology plays a central role. This involves not only familiarizing students with existing legal technologies but also cultivating skills that allow them to adapt to and integrate new technologies into their practice.</w:t>
      </w:r>
    </w:p>
    <w:p>
      <w:pPr>
        <w:spacing w:after="160"/>
      </w:pPr>
      <w:r>
        <w:t xml:space="preserve">Boehmig also highlights the importance of practical experimentation with AI tools for law students and junior lawyers. He encourages them to explore how these technologies can be applied to enhance legal practice, emphasizing the value of developing expertise in both legal reasoning and technological fluency.</w:t>
      </w:r>
    </w:p>
    <w:p>
      <w:pPr>
        <w:pStyle w:val="Heading2"/>
        <w:spacing w:after="120" w:before="240"/>
      </w:pPr>
      <w:r>
        <w:rPr>
          <w:b/>
          <w:bCs/>
        </w:rPr>
        <w:t xml:space="preserve">Implications for the Legal Market</w:t>
      </w:r>
    </w:p>
    <w:p>
      <w:pPr>
        <w:spacing w:after="160"/>
      </w:pPr>
      <w:r>
        <w:t xml:space="preserve">The integration of AI and technology in the legal field is expected to reshape the market dynamics significantly. Boehmig notes that while technology will lead to efficiencies and potentially reduce the number of traditional legal roles, it will also create new opportunities for legal technologists. This evolution mirrors broader economic trends where technology redefines labor markets, often leading to a concentration of highly specialized roles and an increase in demand for tech-savvy professionals.</w:t>
      </w:r>
    </w:p>
    <w:p>
      <w:pPr>
        <w:spacing w:after="160"/>
      </w:pPr>
      <w:r>
        <w:t xml:space="preserve">In conclusion, the rise of the legal technologist represents a significant shift in the legal profession. As technology continues to advance, lawyers must adapt by embracing these tools to enhance their practice. The future of law will likely see a more collaborative relationship between technology and legal professionals, with AI serving as a critical component in delivering efficient and effective legal services.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Open Sans" w:cs="Open Sans" w:eastAsia="Open Sans" w:hAnsi="Open Sans"/>
        <w:color w:val="99999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ontserrat" w:cs="Montserrat" w:eastAsia="Montserrat" w:hAnsi="Montserrat"/>
        <w:color w:val="999999"/>
        <w:sz w:val="16"/>
        <w:szCs w:val="16"/>
      </w:rPr>
      <w:t xml:space="preserve">TalksOnLaw — Written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cs="Open Sans" w:eastAsia="Open Sans" w:hAnsi="Open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pPr>
    <w:rPr>
      <w:rFonts w:ascii="Montserrat" w:cs="Montserrat" w:eastAsia="Montserrat" w:hAnsi="Montserrat"/>
      <w:b/>
      <w:bCs/>
      <w:sz w:val="36"/>
      <w:szCs w:val="36"/>
    </w:rPr>
  </w:style>
  <w:style w:type="paragraph" w:styleId="Heading2">
    <w:name w:val="Heading 2"/>
    <w:basedOn w:val="Normal"/>
    <w:next w:val="Normal"/>
    <w:qFormat/>
    <w:pPr>
      <w:spacing w:after="120" w:before="200"/>
    </w:pPr>
    <w:rPr>
      <w:rFonts w:ascii="Montserrat" w:cs="Montserrat" w:eastAsia="Montserrat" w:hAnsi="Montserrat"/>
      <w:b/>
      <w:bCs/>
      <w:sz w:val="30"/>
      <w:szCs w:val="30"/>
    </w:rPr>
  </w:style>
  <w:style w:type="paragraph" w:styleId="Heading3">
    <w:name w:val="Heading 3"/>
    <w:basedOn w:val="Normal"/>
    <w:next w:val="Normal"/>
    <w:qFormat/>
    <w:pPr>
      <w:spacing w:after="100" w:before="160"/>
    </w:pPr>
    <w:rPr>
      <w:rFonts w:ascii="Montserrat" w:cs="Montserrat" w:eastAsia="Montserrat" w:hAnsi="Montserrat"/>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2026-04-06T19:24:24.968Z</dcterms:created>
  <dcterms:modified xsi:type="dcterms:W3CDTF">2026-04-06T19:24:24.968Z</dcterms:modified>
</cp:coreProperties>
</file>

<file path=docProps/custom.xml><?xml version="1.0" encoding="utf-8"?>
<Properties xmlns="http://schemas.openxmlformats.org/officeDocument/2006/custom-properties" xmlns:vt="http://schemas.openxmlformats.org/officeDocument/2006/docPropsVTypes"/>
</file>